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B45309"/>
        </w:rPr>
        <w:t>[EMPLOYER LEGAL NAME]</w:t>
      </w:r>
      <w:r>
        <w:t xml:space="preserve"> — Biometric Information Policy</w:t>
      </w:r>
    </w:p>
    <w:p>
      <w:pPr>
        <w:spacing w:after="160"/>
      </w:pPr>
      <w:r>
        <w:rPr>
          <w:i/>
        </w:rPr>
        <w:t xml:space="preserve">Effective date: </w:t>
      </w:r>
      <w:r>
        <w:rPr>
          <w:b/>
          <w:color w:val="B45309"/>
        </w:rPr>
        <w:t>[DATE]</w:t>
      </w:r>
      <w:r>
        <w:rPr>
          <w:i/>
        </w:rPr>
        <w:t xml:space="preserve">   ·   Policy owner: </w:t>
      </w:r>
      <w:r>
        <w:rPr>
          <w:b/>
          <w:color w:val="B45309"/>
        </w:rPr>
        <w:t>[TITLE, e.g. HR Director]</w:t>
      </w:r>
      <w:r>
        <w:rPr>
          <w:i/>
        </w:rPr>
        <w:t xml:space="preserve">   ·   Publicly available at: </w:t>
      </w:r>
      <w:r>
        <w:rPr>
          <w:b/>
          <w:color w:val="B45309"/>
        </w:rPr>
        <w:t>[URL or “Employee Handbook §__”]</w:t>
      </w:r>
    </w:p>
    <w:p>
      <w:pPr>
        <w:pBdr>
          <w:bottom w:val="single" w:sz="6" w:space="1" w:color="999999"/>
        </w:pBdr>
        <w:spacing w:after="280"/>
      </w:pPr>
      <w:r>
        <w:rPr>
          <w:i/>
          <w:color w:val="666666"/>
          <w:sz w:val="19"/>
        </w:rPr>
        <w:t>Template provided by Foundation Digital LLC (Chronox), version 1, July 5, 2026. Fill every amber [FIELD], have counsel licensed in your state review it, then publish (Illinois: the policy must be publicly available, e.g. a public web page). This template is general information, not legal advice, and using it does not create an attorney-client relationship.</w:t>
      </w:r>
    </w:p>
    <w:p>
      <w:pPr>
        <w:pStyle w:val="Heading2"/>
        <w:spacing w:before="280" w:after="100"/>
      </w:pPr>
      <w:r>
        <w:t>1. Purpose and scope</w:t>
      </w:r>
    </w:p>
    <w:p>
      <w:pPr>
        <w:spacing w:after="160"/>
      </w:pPr>
      <w:r>
        <w:rPr>
          <w:b/>
          <w:color w:val="B45309"/>
        </w:rPr>
        <w:t>[EMPLOYER LEGAL NAME]</w:t>
      </w:r>
      <w:r>
        <w:t xml:space="preserve"> (“the Company”) uses the Chronox timekeeping system, operated by Foundation Digital LLC, which verifies employee identity with facial recognition when recording the start and end of the workday and breaks. This policy governs all biometric identifiers and biometric information (“biometric data”) collected from employees for that purpose. The Company collects biometric data for </w:t>
      </w:r>
      <w:r>
        <w:rPr>
          <w:b/>
        </w:rPr>
        <w:t>timekeeping only</w:t>
      </w:r>
      <w:r>
        <w:t xml:space="preserve"> — never for surveillance, and never for sale or profit. The Company will not sell, lease, trade, or otherwise profit from biometric data, and will not disclose it except as described in this policy or as required by law.</w:t>
      </w:r>
    </w:p>
    <w:p>
      <w:pPr>
        <w:pStyle w:val="Heading2"/>
        <w:spacing w:before="280" w:after="100"/>
      </w:pPr>
      <w:r>
        <w:t>2. What is collected and where it lives</w:t>
      </w:r>
    </w:p>
    <w:p>
      <w:pPr>
        <w:spacing w:after="160"/>
      </w:pPr>
      <w:r>
        <w:t xml:space="preserve">At enrollment and at each punch, a camera image of the employee’s face is converted into a mathematical template; </w:t>
      </w:r>
      <w:r>
        <w:rPr>
          <w:b/>
        </w:rPr>
        <w:t>no photographs are retained</w:t>
      </w:r>
      <w:r>
        <w:t>. Templates are processed and stored by our vendor Chronox using Amazon Web Services (Oregon, USA) and Supabase (USA), and — where offline mode is enabled — as encrypted copies on authorized crew devices. The vendor’s public retention policy, sub-processor list, and no-sale pledge are at chronoxapp.net.</w:t>
      </w:r>
    </w:p>
    <w:p>
      <w:pPr>
        <w:pStyle w:val="Heading2"/>
        <w:spacing w:before="280" w:after="100"/>
      </w:pPr>
      <w:r>
        <w:t>3. Written consent before any collection</w:t>
      </w:r>
    </w:p>
    <w:p>
      <w:pPr>
        <w:spacing w:after="160"/>
      </w:pPr>
      <w:r>
        <w:t>No employee is enrolled before signing the Biometric Consent &amp; Release (electronic signature valid). The Chronox system technically blocks enrollment until a signed consent is stored. Employees may decline enrollment (see §7) or revoke consent in writing at any time; revocation triggers permanent destruction of the employee’s biometric data.</w:t>
      </w:r>
    </w:p>
    <w:p>
      <w:pPr>
        <w:pStyle w:val="Heading2"/>
        <w:spacing w:before="280" w:after="100"/>
      </w:pPr>
      <w:r>
        <w:t>4. Retention schedule</w:t>
      </w:r>
    </w:p>
    <w:p>
      <w:pPr>
        <w:spacing w:after="160"/>
      </w:pPr>
      <w:r>
        <w:t>Biometric data is retained only while the employee remains employed and enrolled in biometric timekeeping, and never longer than the deadlines in §5.</w:t>
      </w:r>
    </w:p>
    <w:p>
      <w:pPr>
        <w:pStyle w:val="Heading2"/>
        <w:spacing w:before="280" w:after="100"/>
      </w:pPr>
      <w:r>
        <w:t>5. Destruction guidelines</w:t>
      </w:r>
    </w:p>
    <w:p>
      <w:pPr>
        <w:spacing w:after="160"/>
      </w:pPr>
      <w:r>
        <w:t xml:space="preserve">Biometric data is permanently destroyed at the </w:t>
      </w:r>
      <w:r>
        <w:rPr>
          <w:b/>
        </w:rPr>
        <w:t>first</w:t>
      </w:r>
      <w:r>
        <w:t xml:space="preserve"> of:</w:t>
      </w:r>
    </w:p>
    <w:p>
      <w:pPr>
        <w:spacing w:after="160"/>
      </w:pPr>
      <w:r>
        <w:t xml:space="preserve">(a) </w:t>
      </w:r>
      <w:r>
        <w:rPr>
          <w:b/>
        </w:rPr>
        <w:t>End of employment</w:t>
      </w:r>
      <w:r>
        <w:t xml:space="preserve"> — destruction is triggered automatically when the employee record is deactivated;</w:t>
      </w:r>
    </w:p>
    <w:p>
      <w:pPr>
        <w:spacing w:after="160"/>
      </w:pPr>
      <w:r>
        <w:t xml:space="preserve">(b) </w:t>
      </w:r>
      <w:r>
        <w:rPr>
          <w:b/>
        </w:rPr>
        <w:t>A processed written revocation of consent</w:t>
      </w:r>
      <w:r>
        <w:t>; or</w:t>
      </w:r>
    </w:p>
    <w:p>
      <w:pPr>
        <w:spacing w:after="160"/>
      </w:pPr>
      <w:r>
        <w:t xml:space="preserve">(c) </w:t>
      </w:r>
      <w:r>
        <w:rPr>
          <w:b/>
        </w:rPr>
        <w:t xml:space="preserve">The statutory deadline: </w:t>
      </w:r>
      <w:r>
        <w:rPr>
          <w:b/>
          <w:color w:val="B45309"/>
        </w:rPr>
        <w:t>[SELECT PER YOUR STATE — Illinois: no later than 3 years after the employee’s last interaction with the Company · Colorado: no later than 24 months after last interaction, or within 45 days of a determination that storage is no longer necessary · Texas: no later than 1 year after the purpose of collection ends · Washington: no longer than reasonably necessary for the timekeeping purpose · Default/multi-state: 3 years after last interaction]</w:t>
      </w:r>
      <w:r>
        <w:t>.</w:t>
      </w:r>
    </w:p>
    <w:p>
      <w:pPr>
        <w:spacing w:after="160"/>
      </w:pPr>
      <w:r>
        <w:t xml:space="preserve">Destruction is executed by the vendor (deletion of cloud face records, encrypted templates, and device caches) and evidenced by </w:t>
      </w:r>
      <w:r>
        <w:rPr>
          <w:b/>
        </w:rPr>
        <w:t>logged deletion receipts</w:t>
      </w:r>
      <w:r>
        <w:t>, which the Company can produce on request.</w:t>
      </w:r>
    </w:p>
    <w:p>
      <w:pPr>
        <w:pStyle w:val="Heading2"/>
        <w:spacing w:before="280" w:after="100"/>
      </w:pPr>
      <w:r>
        <w:t>6. Data security and incident response</w:t>
      </w:r>
    </w:p>
    <w:p>
      <w:pPr>
        <w:spacing w:after="160"/>
      </w:pPr>
      <w:r>
        <w:t>Biometric data is protected with a reasonable standard of care within our industry, at least equal to the protections for other confidential and sensitive information: encryption in transit and at rest, role-restricted access, and vendor-enforced consent gates and append-only audit logs.</w:t>
      </w:r>
    </w:p>
    <w:p>
      <w:pPr>
        <w:spacing w:after="160"/>
      </w:pPr>
      <w:r>
        <w:rPr>
          <w:b/>
        </w:rPr>
        <w:t xml:space="preserve">Incident response: </w:t>
      </w:r>
      <w:r>
        <w:t xml:space="preserve">any suspected security incident involving biometric data must be reported immediately to </w:t>
      </w:r>
      <w:r>
        <w:rPr>
          <w:b/>
          <w:color w:val="B45309"/>
        </w:rPr>
        <w:t>[TITLE / CONTACT]</w:t>
      </w:r>
      <w:r>
        <w:t xml:space="preserve">, who will follow the Company’s incident-response protocol: contain and assess the incident, engage the vendor, and notify affected employees, regulators, and authorities as required by applicable law, without unreasonable delay. </w:t>
      </w:r>
      <w:r>
        <w:rPr>
          <w:i/>
        </w:rPr>
        <w:t>(Colorado: this incident-response protocol is a required element of the written policy.)</w:t>
      </w:r>
    </w:p>
    <w:p>
      <w:pPr>
        <w:pStyle w:val="Heading2"/>
        <w:spacing w:before="280" w:after="100"/>
      </w:pPr>
      <w:r>
        <w:t>7. Voluntariness, refusal, and accommodation</w:t>
      </w:r>
    </w:p>
    <w:p>
      <w:pPr>
        <w:spacing w:after="160"/>
      </w:pPr>
      <w:r>
        <w:t xml:space="preserve">Consent to biometric timekeeping </w:t>
      </w:r>
      <w:r>
        <w:rPr>
          <w:b/>
          <w:color w:val="B45309"/>
        </w:rPr>
        <w:t>[SELECT — may be required as a condition of employment where the law allows it for recording the start and end of the workday and breaks (e.g., Colorado C.R.S. §6-1-1314(6)) / is voluntary]</w:t>
      </w:r>
      <w:r>
        <w:t xml:space="preserve">. Any employee with a religious, medical, disability-related, or privacy objection will be accommodated through the Company’s accommodation procedure: management records the employee’s work time by an alternative method (including the Chronox Face ID exemption, under which no biometric data is collected), with </w:t>
      </w:r>
      <w:r>
        <w:rPr>
          <w:b/>
        </w:rPr>
        <w:t>no penalty, discipline, or retaliation</w:t>
      </w:r>
      <w:r>
        <w:t xml:space="preserve"> for requesting it. Employment is never conditioned on consent to biometric location tracking.</w:t>
      </w:r>
    </w:p>
    <w:p>
      <w:pPr>
        <w:pStyle w:val="Heading2"/>
        <w:spacing w:before="280" w:after="100"/>
      </w:pPr>
      <w:r>
        <w:t>8. Access, administration, and misuse</w:t>
      </w:r>
    </w:p>
    <w:p>
      <w:pPr>
        <w:spacing w:after="160"/>
      </w:pPr>
      <w:r>
        <w:t xml:space="preserve">Only </w:t>
      </w:r>
      <w:r>
        <w:rPr>
          <w:b/>
          <w:color w:val="B45309"/>
        </w:rPr>
        <w:t>[ROLES, e.g. HR administrators and authorized managers]</w:t>
      </w:r>
      <w:r>
        <w:t xml:space="preserve"> may administer biometric enrollments, deletions, or revocations, and every such action is logged immutably in the vendor system. Misuse of biometric data or the timekeeping system is grounds for discipline up to and including termination.</w:t>
      </w:r>
    </w:p>
    <w:p>
      <w:pPr>
        <w:pStyle w:val="Heading2"/>
        <w:spacing w:before="280" w:after="100"/>
      </w:pPr>
      <w:r>
        <w:t>9. Employee rights and questions</w:t>
      </w:r>
    </w:p>
    <w:p>
      <w:pPr>
        <w:spacing w:after="160"/>
      </w:pPr>
      <w:r>
        <w:t xml:space="preserve">Employees may request access to, correction of, or deletion of their biometric data, and may revoke consent, by contacting </w:t>
      </w:r>
      <w:r>
        <w:rPr>
          <w:b/>
          <w:color w:val="B45309"/>
        </w:rPr>
        <w:t>[HR CONTACT — NAME, EMAIL, PHONE]</w:t>
      </w:r>
      <w:r>
        <w:t xml:space="preserve">. The vendor’s public Biometric Data Retention &amp; Destruction Policy is available at chronoxapp.net/biometric-retention-policy.html. </w:t>
      </w:r>
      <w:r>
        <w:rPr>
          <w:b/>
          <w:color w:val="B45309"/>
        </w:rPr>
        <w:t>[CALIFORNIA EMPLOYERS: add your CCPA Notice at Collection reference here. QUEBEC EMPLOYERS: the biometric database must be declared to the CAI at least 60 days before first use; French-language documentation applies.]</w:t>
      </w:r>
    </w:p>
    <w:p>
      <w:pPr>
        <w:pBdr>
          <w:top w:val="single" w:sz="6" w:space="1" w:color="999999"/>
        </w:pBdr>
        <w:spacing w:after="0" w:before="360"/>
      </w:pPr>
      <w:r>
        <w:rPr>
          <w:i/>
          <w:color w:val="666666"/>
          <w:sz w:val="19"/>
        </w:rPr>
        <w:t>Disclaimer: Foundation Digital LLC is not a law firm. This template reflects the law as of July 2026 and must be reviewed by counsel licensed in your jurisdiction before adoption. Statutes: 740 ILCS 14/15 (Illinois BIPA); C.R.S. §6-1-1314 (Colorado); Tex. Bus. &amp; Com. Code §503.001 (CUBI); RCW 19.375 (Washington).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00000"/>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